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8EF5" w14:textId="77777777" w:rsidR="00933F1D" w:rsidRDefault="00933F1D" w:rsidP="00933F1D">
      <w:pPr>
        <w:pStyle w:val="1Heading"/>
        <w:rPr>
          <w:color w:val="000000"/>
        </w:rPr>
      </w:pPr>
      <w:r w:rsidRPr="00933F1D">
        <w:rPr>
          <w:color w:val="396677"/>
        </w:rPr>
        <w:t>Section 7:</w:t>
      </w:r>
      <w:r w:rsidRPr="00933F1D">
        <w:t xml:space="preserve"> </w:t>
      </w:r>
      <w:r w:rsidRPr="00933F1D">
        <w:br/>
      </w:r>
      <w:r w:rsidRPr="00933F1D">
        <w:rPr>
          <w:color w:val="000000" w:themeColor="text1"/>
        </w:rPr>
        <w:t>Cost implications of changing the seismic hazard factor</w:t>
      </w:r>
    </w:p>
    <w:p w14:paraId="1E7626D8" w14:textId="77777777" w:rsidR="00933F1D" w:rsidRDefault="00933F1D" w:rsidP="00933F1D">
      <w:pPr>
        <w:pStyle w:val="1Heading"/>
        <w:pBdr>
          <w:bottom w:val="single" w:sz="4" w:space="1" w:color="000000" w:themeColor="text1"/>
        </w:pBdr>
        <w:rPr>
          <w:color w:val="000000"/>
        </w:rPr>
      </w:pPr>
    </w:p>
    <w:p w14:paraId="3D739222" w14:textId="77777777" w:rsidR="00933F1D" w:rsidRPr="00933F1D" w:rsidRDefault="00933F1D" w:rsidP="00933F1D">
      <w:pPr>
        <w:pStyle w:val="1Heading"/>
      </w:pPr>
    </w:p>
    <w:p w14:paraId="73245356" w14:textId="77777777" w:rsidR="00DB0F6A" w:rsidRDefault="00DB0F6A" w:rsidP="00DB0F6A">
      <w:pPr>
        <w:pStyle w:val="Introductiontext"/>
      </w:pPr>
      <w:r>
        <w:t>The Z factor is the seismic hazard factor that is applied to a location. It is a fundamental value used to determine the design seismic actions for buildings.</w:t>
      </w:r>
    </w:p>
    <w:p w14:paraId="4C3FB217" w14:textId="77777777" w:rsidR="00DB0F6A" w:rsidRPr="00DB0F6A" w:rsidRDefault="00DB0F6A" w:rsidP="00DB0F6A">
      <w:pPr>
        <w:pStyle w:val="Heading2"/>
      </w:pPr>
      <w:r w:rsidRPr="00DB0F6A">
        <w:t>7.1 Background</w:t>
      </w:r>
    </w:p>
    <w:p w14:paraId="42A00A47" w14:textId="2A3A733E" w:rsidR="00DB0F6A" w:rsidRPr="00DB0F6A" w:rsidRDefault="00DB0F6A" w:rsidP="00DB0F6A">
      <w:pPr>
        <w:pStyle w:val="7BodyCopy"/>
        <w:rPr>
          <w:rFonts w:ascii="Arial" w:hAnsi="Arial" w:cs="Arial"/>
          <w:sz w:val="24"/>
          <w:szCs w:val="24"/>
        </w:rPr>
      </w:pPr>
      <w:r w:rsidRPr="00DB0F6A">
        <w:rPr>
          <w:rFonts w:ascii="Arial" w:hAnsi="Arial" w:cs="Arial"/>
          <w:sz w:val="24"/>
          <w:szCs w:val="24"/>
        </w:rPr>
        <w:t>NZS 1170.5 sets out hazard factors: Z in Table 3.3 for cities and towns, and in a contour map of New Zealand on pages 18 and 19. The Z factor calculation is underpinned by the</w:t>
      </w:r>
      <w:r>
        <w:rPr>
          <w:rFonts w:ascii="Arial" w:hAnsi="Arial" w:cs="Arial"/>
          <w:sz w:val="24"/>
          <w:szCs w:val="24"/>
        </w:rPr>
        <w:t xml:space="preserve"> Natural Seismic Hazard Model, </w:t>
      </w:r>
      <w:r w:rsidRPr="00DB0F6A">
        <w:rPr>
          <w:rFonts w:ascii="Arial" w:hAnsi="Arial" w:cs="Arial"/>
          <w:sz w:val="24"/>
          <w:szCs w:val="24"/>
        </w:rPr>
        <w:t xml:space="preserve">as discussed in section 2 of Volume 1 of this Report. The highest Z factor is 0.6 (Otira and Arthur’s Pass) while the lowest is 0.13 (a number of places including Auckland, Northland and Dunedin). Other examples are Wellington, Porirua and Hutt Valley at 0.40; Christchurch </w:t>
      </w:r>
      <w:r w:rsidRPr="00DB0F6A">
        <w:rPr>
          <w:rFonts w:ascii="Arial" w:hAnsi="Arial" w:cs="Arial"/>
          <w:spacing w:val="-2"/>
          <w:sz w:val="24"/>
          <w:szCs w:val="24"/>
        </w:rPr>
        <w:t>was 0.22 but it was raised to 0.30 after the earthquakes.</w:t>
      </w:r>
    </w:p>
    <w:p w14:paraId="10B70B2E" w14:textId="77777777" w:rsidR="00DB0F6A" w:rsidRPr="00DB0F6A" w:rsidRDefault="00DB0F6A" w:rsidP="00DB0F6A">
      <w:pPr>
        <w:pStyle w:val="Heading2"/>
      </w:pPr>
      <w:r w:rsidRPr="00DB0F6A">
        <w:t>7.2 Introduction</w:t>
      </w:r>
    </w:p>
    <w:p w14:paraId="59349ED4" w14:textId="77777777" w:rsidR="00DB0F6A" w:rsidRPr="00DB0F6A" w:rsidRDefault="00DB0F6A" w:rsidP="00DB0F6A">
      <w:pPr>
        <w:pStyle w:val="7BodyCopy"/>
        <w:rPr>
          <w:rFonts w:ascii="Arial" w:hAnsi="Arial" w:cs="Arial"/>
          <w:sz w:val="24"/>
          <w:szCs w:val="24"/>
        </w:rPr>
      </w:pPr>
      <w:r w:rsidRPr="00DB0F6A">
        <w:rPr>
          <w:rFonts w:ascii="Arial" w:hAnsi="Arial" w:cs="Arial"/>
          <w:sz w:val="24"/>
          <w:szCs w:val="24"/>
        </w:rPr>
        <w:t xml:space="preserve">The Z factor for Christchurch was increased to 0.30 after the earthquakes to take account of greater seismicity in the region. This change was made in consultation with GNS Science. Further work has been done by GNS since that time on the appropriate value for the seismic hazard factor for Christchurch, given the continuing seismic activity. This activity is expected to decrease over a period of decades (as discussed in section 2 of Volume 1). Further consideration is being given to the matter in the light of additional work on seismic hazards in the Christchurch region. At the time of writing the review of the Z value and the return factor for the servicability limit state are continuing. </w:t>
      </w:r>
    </w:p>
    <w:p w14:paraId="52BE10EB" w14:textId="77777777" w:rsidR="00DB0F6A" w:rsidRPr="00DB0F6A" w:rsidRDefault="00DB0F6A" w:rsidP="00DB0F6A">
      <w:pPr>
        <w:pStyle w:val="7BodyCopy"/>
        <w:rPr>
          <w:rFonts w:ascii="Arial" w:hAnsi="Arial" w:cs="Arial"/>
          <w:sz w:val="24"/>
          <w:szCs w:val="24"/>
        </w:rPr>
      </w:pPr>
      <w:r w:rsidRPr="00DB0F6A">
        <w:rPr>
          <w:rFonts w:ascii="Arial" w:hAnsi="Arial" w:cs="Arial"/>
          <w:sz w:val="24"/>
          <w:szCs w:val="24"/>
        </w:rPr>
        <w:t>The associated return period factor for the serviceability limit state was increased from 0.25 to 0.33. The return period factor and limit states are discussed in section 3 of Volume 1 of this Report.</w:t>
      </w:r>
    </w:p>
    <w:p w14:paraId="609BE268" w14:textId="77777777" w:rsidR="00DB0F6A" w:rsidRPr="00DB0F6A" w:rsidRDefault="00DB0F6A" w:rsidP="00DB0F6A">
      <w:pPr>
        <w:pStyle w:val="Heading2"/>
      </w:pPr>
      <w:r w:rsidRPr="00DB0F6A">
        <w:t>7.3 Cost implications study</w:t>
      </w:r>
    </w:p>
    <w:p w14:paraId="5749A438" w14:textId="77777777" w:rsidR="00DB0F6A" w:rsidRPr="00DB0F6A" w:rsidRDefault="00DB0F6A" w:rsidP="00DB0F6A">
      <w:pPr>
        <w:pStyle w:val="7BodyCopy"/>
        <w:rPr>
          <w:rFonts w:ascii="Arial" w:hAnsi="Arial" w:cs="Arial"/>
          <w:sz w:val="24"/>
          <w:szCs w:val="24"/>
        </w:rPr>
      </w:pPr>
      <w:r w:rsidRPr="00DB0F6A">
        <w:rPr>
          <w:rFonts w:ascii="Arial" w:hAnsi="Arial" w:cs="Arial"/>
          <w:sz w:val="24"/>
          <w:szCs w:val="24"/>
        </w:rPr>
        <w:t>The Royal Commission considers it is important that the seismic hazard factor assigned to a place should provide an accurate reflection of the area’s earthquake hazard. However, it is also important not to overstate the hazard and thereby impose unjustified additional construction costs.</w:t>
      </w:r>
    </w:p>
    <w:p w14:paraId="3F2DDC86" w14:textId="03B1A554" w:rsidR="00DB0F6A" w:rsidRPr="00DB0F6A" w:rsidRDefault="00DB0F6A" w:rsidP="00DB0F6A">
      <w:pPr>
        <w:pStyle w:val="7BodyCopy"/>
        <w:rPr>
          <w:rFonts w:ascii="Arial" w:hAnsi="Arial" w:cs="Arial"/>
          <w:sz w:val="24"/>
          <w:szCs w:val="24"/>
        </w:rPr>
      </w:pPr>
      <w:r w:rsidRPr="00DB0F6A">
        <w:rPr>
          <w:rFonts w:ascii="Arial" w:hAnsi="Arial" w:cs="Arial"/>
          <w:sz w:val="24"/>
          <w:szCs w:val="24"/>
        </w:rPr>
        <w:t>We have reviewed the structure of eight buildings with a view to ascertaining the cost implications of an increase in the Z factor. When</w:t>
      </w:r>
      <w:r>
        <w:rPr>
          <w:rFonts w:ascii="Arial" w:hAnsi="Arial" w:cs="Arial"/>
          <w:sz w:val="24"/>
          <w:szCs w:val="24"/>
        </w:rPr>
        <w:t xml:space="preserve"> we commenced this review, the </w:t>
      </w:r>
      <w:r w:rsidRPr="00DB0F6A">
        <w:rPr>
          <w:rFonts w:ascii="Arial" w:hAnsi="Arial" w:cs="Arial"/>
          <w:sz w:val="24"/>
          <w:szCs w:val="24"/>
        </w:rPr>
        <w:t xml:space="preserve">Z factor and the associated return period factor for the serviceability limit state had been increased. However, during the Commission’s hearing on seismicity, GNS </w:t>
      </w:r>
      <w:r w:rsidRPr="00DB0F6A">
        <w:rPr>
          <w:rFonts w:ascii="Arial" w:hAnsi="Arial" w:cs="Arial"/>
          <w:spacing w:val="-2"/>
          <w:sz w:val="24"/>
          <w:szCs w:val="24"/>
        </w:rPr>
        <w:t>said further work on its seismic hazard model suggested</w:t>
      </w:r>
      <w:r w:rsidRPr="00DB0F6A">
        <w:rPr>
          <w:rFonts w:ascii="Arial" w:hAnsi="Arial" w:cs="Arial"/>
          <w:sz w:val="24"/>
          <w:szCs w:val="24"/>
        </w:rPr>
        <w:t xml:space="preserve"> </w:t>
      </w:r>
      <w:r w:rsidRPr="00DB0F6A">
        <w:rPr>
          <w:rFonts w:ascii="Arial" w:hAnsi="Arial" w:cs="Arial"/>
          <w:sz w:val="24"/>
          <w:szCs w:val="24"/>
        </w:rPr>
        <w:lastRenderedPageBreak/>
        <w:t>a higher Z value, in the range of 0.34–0.39, with a corresponding return pe</w:t>
      </w:r>
      <w:r>
        <w:rPr>
          <w:rFonts w:ascii="Arial" w:hAnsi="Arial" w:cs="Arial"/>
          <w:sz w:val="24"/>
          <w:szCs w:val="24"/>
        </w:rPr>
        <w:t xml:space="preserve">riod factor for serviceability </w:t>
      </w:r>
      <w:r w:rsidRPr="00DB0F6A">
        <w:rPr>
          <w:rFonts w:ascii="Arial" w:hAnsi="Arial" w:cs="Arial"/>
          <w:sz w:val="24"/>
          <w:szCs w:val="24"/>
        </w:rPr>
        <w:t xml:space="preserve">of 0.28. </w:t>
      </w:r>
    </w:p>
    <w:p w14:paraId="5D71D4E6" w14:textId="3012FAB9" w:rsidR="00DB0F6A" w:rsidRPr="00DB0F6A" w:rsidRDefault="00DB0F6A" w:rsidP="00DB0F6A">
      <w:pPr>
        <w:pStyle w:val="7BodyCopy"/>
        <w:rPr>
          <w:rFonts w:ascii="Arial" w:hAnsi="Arial" w:cs="Arial"/>
          <w:sz w:val="24"/>
          <w:szCs w:val="24"/>
        </w:rPr>
      </w:pPr>
      <w:r w:rsidRPr="00DB0F6A">
        <w:rPr>
          <w:rFonts w:ascii="Arial" w:hAnsi="Arial" w:cs="Arial"/>
          <w:sz w:val="24"/>
          <w:szCs w:val="24"/>
        </w:rPr>
        <w:t>For this reason we chose to assess cost implications for a hypothetical Z value of 0.35, except where a building had been redesigned al</w:t>
      </w:r>
      <w:r>
        <w:rPr>
          <w:rFonts w:ascii="Arial" w:hAnsi="Arial" w:cs="Arial"/>
          <w:sz w:val="24"/>
          <w:szCs w:val="24"/>
        </w:rPr>
        <w:t xml:space="preserve">ready owing to the increase in </w:t>
      </w:r>
      <w:r w:rsidRPr="00DB0F6A">
        <w:rPr>
          <w:rFonts w:ascii="Arial" w:hAnsi="Arial" w:cs="Arial"/>
          <w:sz w:val="24"/>
          <w:szCs w:val="24"/>
        </w:rPr>
        <w:t xml:space="preserve">Z factor to 0.30. In some cases, a major part of the cost increase came from the increased serviceability actions and the need to protect the building against damage associated with liquefaction in this limit state. </w:t>
      </w:r>
    </w:p>
    <w:p w14:paraId="16274A81" w14:textId="324374FE" w:rsidR="00DB0F6A" w:rsidRPr="00DB0F6A" w:rsidRDefault="00DB0F6A" w:rsidP="00DB0F6A">
      <w:pPr>
        <w:pStyle w:val="7BodyCopy"/>
        <w:rPr>
          <w:rFonts w:ascii="Arial" w:hAnsi="Arial" w:cs="Arial"/>
          <w:sz w:val="24"/>
          <w:szCs w:val="24"/>
        </w:rPr>
      </w:pPr>
      <w:r w:rsidRPr="00DB0F6A">
        <w:rPr>
          <w:rFonts w:ascii="Arial" w:hAnsi="Arial" w:cs="Arial"/>
          <w:sz w:val="24"/>
          <w:szCs w:val="24"/>
        </w:rPr>
        <w:t>The buildings were all</w:t>
      </w:r>
      <w:r>
        <w:rPr>
          <w:rFonts w:ascii="Arial" w:hAnsi="Arial" w:cs="Arial"/>
          <w:sz w:val="24"/>
          <w:szCs w:val="24"/>
        </w:rPr>
        <w:t xml:space="preserve"> commercial structures ranging </w:t>
      </w:r>
      <w:r w:rsidRPr="00DB0F6A">
        <w:rPr>
          <w:rFonts w:ascii="Arial" w:hAnsi="Arial" w:cs="Arial"/>
          <w:sz w:val="24"/>
          <w:szCs w:val="24"/>
        </w:rPr>
        <w:t>in size from one to 10 storeys, some with car parks. They were either built within the last 10 years or the subject of recently-is</w:t>
      </w:r>
      <w:r>
        <w:rPr>
          <w:rFonts w:ascii="Arial" w:hAnsi="Arial" w:cs="Arial"/>
          <w:sz w:val="24"/>
          <w:szCs w:val="24"/>
        </w:rPr>
        <w:t xml:space="preserve">sued building consents and not </w:t>
      </w:r>
      <w:r w:rsidRPr="00DB0F6A">
        <w:rPr>
          <w:rFonts w:ascii="Arial" w:hAnsi="Arial" w:cs="Arial"/>
          <w:sz w:val="24"/>
          <w:szCs w:val="24"/>
        </w:rPr>
        <w:t>yet completed. They had a variety of foundation types and raised differen</w:t>
      </w:r>
      <w:r>
        <w:rPr>
          <w:rFonts w:ascii="Arial" w:hAnsi="Arial" w:cs="Arial"/>
          <w:sz w:val="24"/>
          <w:szCs w:val="24"/>
        </w:rPr>
        <w:t xml:space="preserve">t geotechnical considerations. </w:t>
      </w:r>
      <w:r w:rsidRPr="00DB0F6A">
        <w:rPr>
          <w:rFonts w:ascii="Arial" w:hAnsi="Arial" w:cs="Arial"/>
          <w:sz w:val="24"/>
          <w:szCs w:val="24"/>
        </w:rPr>
        <w:t>In some cases, it was apparent that a decision had been made to exceed the minimum requirements arising from the increased Z factor. A summary of the buildings’ attributes and the increase in construction costs is shown in the following table.</w:t>
      </w:r>
    </w:p>
    <w:tbl>
      <w:tblPr>
        <w:tblW w:w="0" w:type="auto"/>
        <w:tblInd w:w="85" w:type="dxa"/>
        <w:tblLayout w:type="fixed"/>
        <w:tblCellMar>
          <w:left w:w="0" w:type="dxa"/>
          <w:right w:w="0" w:type="dxa"/>
        </w:tblCellMar>
        <w:tblLook w:val="0000" w:firstRow="0" w:lastRow="0" w:firstColumn="0" w:lastColumn="0" w:noHBand="0" w:noVBand="0"/>
      </w:tblPr>
      <w:tblGrid>
        <w:gridCol w:w="1190"/>
        <w:gridCol w:w="5189"/>
        <w:gridCol w:w="1843"/>
        <w:gridCol w:w="2126"/>
      </w:tblGrid>
      <w:tr w:rsidR="00DB0F6A" w:rsidRPr="00DB0F6A" w14:paraId="5339DF58" w14:textId="77777777" w:rsidTr="00974CB8">
        <w:trPr>
          <w:trHeight w:val="60"/>
        </w:trPr>
        <w:tc>
          <w:tcPr>
            <w:tcW w:w="10348" w:type="dxa"/>
            <w:gridSpan w:val="4"/>
            <w:shd w:val="solid" w:color="396677" w:fill="auto"/>
            <w:tcMar>
              <w:top w:w="113" w:type="dxa"/>
              <w:left w:w="85" w:type="dxa"/>
              <w:bottom w:w="113" w:type="dxa"/>
              <w:right w:w="85" w:type="dxa"/>
            </w:tcMar>
            <w:vAlign w:val="center"/>
          </w:tcPr>
          <w:p w14:paraId="7C61E923" w14:textId="77777777" w:rsidR="00DB0F6A" w:rsidRPr="00DB0F6A" w:rsidRDefault="00DB0F6A">
            <w:pPr>
              <w:pStyle w:val="7Tablewhitehead"/>
              <w:rPr>
                <w:rFonts w:ascii="Arial" w:hAnsi="Arial" w:cs="Arial"/>
                <w:sz w:val="24"/>
                <w:szCs w:val="24"/>
              </w:rPr>
            </w:pPr>
            <w:r w:rsidRPr="00DB0F6A">
              <w:rPr>
                <w:rFonts w:ascii="Arial" w:hAnsi="Arial" w:cs="Arial"/>
                <w:sz w:val="24"/>
                <w:szCs w:val="24"/>
              </w:rPr>
              <w:t>Increases in construction costs associated with higher Z factors for eight Christchurch buildings</w:t>
            </w:r>
          </w:p>
        </w:tc>
      </w:tr>
      <w:tr w:rsidR="00B472E6" w:rsidRPr="00DB0F6A" w14:paraId="2B7F1ACB" w14:textId="77777777" w:rsidTr="00974CB8">
        <w:trPr>
          <w:trHeight w:val="60"/>
        </w:trPr>
        <w:tc>
          <w:tcPr>
            <w:tcW w:w="1190" w:type="dxa"/>
            <w:tcBorders>
              <w:left w:val="single" w:sz="6" w:space="0" w:color="FFFFFF"/>
              <w:bottom w:val="single" w:sz="8" w:space="0" w:color="FFFFFF"/>
              <w:right w:val="single" w:sz="8" w:space="0" w:color="FFFFFF"/>
            </w:tcBorders>
            <w:shd w:val="clear" w:color="447B9C" w:fill="C6D9F1" w:themeFill="text2" w:themeFillTint="33"/>
            <w:tcMar>
              <w:top w:w="113" w:type="dxa"/>
              <w:left w:w="85" w:type="dxa"/>
              <w:bottom w:w="113" w:type="dxa"/>
              <w:right w:w="85" w:type="dxa"/>
            </w:tcMar>
          </w:tcPr>
          <w:p w14:paraId="6E3A2814"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Building</w:t>
            </w:r>
          </w:p>
        </w:tc>
        <w:tc>
          <w:tcPr>
            <w:tcW w:w="5189" w:type="dxa"/>
            <w:tcBorders>
              <w:left w:val="single" w:sz="8" w:space="0" w:color="FFFFFF"/>
              <w:bottom w:val="single" w:sz="8" w:space="0" w:color="FFFFFF"/>
              <w:right w:val="single" w:sz="8" w:space="0" w:color="FFFFFF"/>
            </w:tcBorders>
            <w:shd w:val="clear" w:color="447B9C" w:fill="C6D9F1" w:themeFill="text2" w:themeFillTint="33"/>
            <w:tcMar>
              <w:top w:w="113" w:type="dxa"/>
              <w:left w:w="85" w:type="dxa"/>
              <w:bottom w:w="113" w:type="dxa"/>
              <w:right w:w="85" w:type="dxa"/>
            </w:tcMar>
          </w:tcPr>
          <w:p w14:paraId="482083CC" w14:textId="77777777" w:rsidR="00DB0F6A" w:rsidRPr="00DB0F6A" w:rsidRDefault="00DB0F6A">
            <w:pPr>
              <w:pStyle w:val="7BodyCopy"/>
              <w:rPr>
                <w:rFonts w:ascii="Arial" w:hAnsi="Arial" w:cs="Arial"/>
                <w:sz w:val="24"/>
                <w:szCs w:val="24"/>
              </w:rPr>
            </w:pPr>
            <w:r w:rsidRPr="00DB0F6A">
              <w:rPr>
                <w:rFonts w:ascii="Arial" w:hAnsi="Arial" w:cs="Arial"/>
                <w:sz w:val="24"/>
                <w:szCs w:val="24"/>
              </w:rPr>
              <w:t>Characteristics</w:t>
            </w:r>
          </w:p>
        </w:tc>
        <w:tc>
          <w:tcPr>
            <w:tcW w:w="1843" w:type="dxa"/>
            <w:tcBorders>
              <w:left w:val="single" w:sz="8" w:space="0" w:color="FFFFFF"/>
              <w:bottom w:val="single" w:sz="8" w:space="0" w:color="FFFFFF"/>
              <w:right w:val="single" w:sz="8" w:space="0" w:color="FFFFFF"/>
            </w:tcBorders>
            <w:shd w:val="clear" w:color="447B9C" w:fill="C6D9F1" w:themeFill="text2" w:themeFillTint="33"/>
            <w:tcMar>
              <w:top w:w="113" w:type="dxa"/>
              <w:left w:w="85" w:type="dxa"/>
              <w:bottom w:w="113" w:type="dxa"/>
              <w:right w:w="85" w:type="dxa"/>
            </w:tcMar>
          </w:tcPr>
          <w:p w14:paraId="226CFEC1"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Z factor change</w:t>
            </w:r>
          </w:p>
        </w:tc>
        <w:tc>
          <w:tcPr>
            <w:tcW w:w="2126" w:type="dxa"/>
            <w:tcBorders>
              <w:left w:val="single" w:sz="8" w:space="0" w:color="FFFFFF"/>
              <w:bottom w:val="single" w:sz="8" w:space="0" w:color="FFFFFF"/>
              <w:right w:val="single" w:sz="6" w:space="0" w:color="FFFFFF"/>
            </w:tcBorders>
            <w:shd w:val="clear" w:color="447B9C" w:fill="C6D9F1" w:themeFill="text2" w:themeFillTint="33"/>
            <w:tcMar>
              <w:top w:w="113" w:type="dxa"/>
              <w:left w:w="85" w:type="dxa"/>
              <w:bottom w:w="113" w:type="dxa"/>
              <w:right w:w="85" w:type="dxa"/>
            </w:tcMar>
          </w:tcPr>
          <w:p w14:paraId="4A75FD31"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Increase in construction costs</w:t>
            </w:r>
          </w:p>
        </w:tc>
      </w:tr>
      <w:tr w:rsidR="00DB0F6A" w:rsidRPr="00DB0F6A" w14:paraId="49DC94A5"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463396FE"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1</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44345F6C" w14:textId="77777777" w:rsidR="00DB0F6A" w:rsidRPr="00DB0F6A" w:rsidRDefault="00DB0F6A">
            <w:pPr>
              <w:pStyle w:val="7BodyCopy"/>
              <w:rPr>
                <w:rFonts w:ascii="Arial" w:hAnsi="Arial" w:cs="Arial"/>
                <w:sz w:val="24"/>
                <w:szCs w:val="24"/>
              </w:rPr>
            </w:pPr>
            <w:r w:rsidRPr="00DB0F6A">
              <w:rPr>
                <w:rFonts w:ascii="Arial" w:hAnsi="Arial" w:cs="Arial"/>
                <w:sz w:val="24"/>
                <w:szCs w:val="24"/>
              </w:rPr>
              <w:t>Two levels: retail and car park</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283D8136"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0.30 to 0.35</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5A92B953"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1%</w:t>
            </w:r>
            <w:bookmarkStart w:id="0" w:name="_GoBack"/>
            <w:bookmarkEnd w:id="0"/>
          </w:p>
        </w:tc>
      </w:tr>
      <w:tr w:rsidR="00DB0F6A" w:rsidRPr="00DB0F6A" w14:paraId="35D5961E"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2E3F6292"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2</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50B552B4" w14:textId="77777777" w:rsidR="00DB0F6A" w:rsidRPr="00DB0F6A" w:rsidRDefault="00DB0F6A">
            <w:pPr>
              <w:pStyle w:val="7BodyCopy"/>
              <w:rPr>
                <w:rFonts w:ascii="Arial" w:hAnsi="Arial" w:cs="Arial"/>
                <w:sz w:val="24"/>
                <w:szCs w:val="24"/>
              </w:rPr>
            </w:pPr>
            <w:r w:rsidRPr="00DB0F6A">
              <w:rPr>
                <w:rFonts w:ascii="Arial" w:hAnsi="Arial" w:cs="Arial"/>
                <w:sz w:val="24"/>
                <w:szCs w:val="24"/>
              </w:rPr>
              <w:t>Three-level office building</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5732B129"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0.22 to 0.35</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4EC34FB4"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1%</w:t>
            </w:r>
          </w:p>
        </w:tc>
      </w:tr>
      <w:tr w:rsidR="00DB0F6A" w:rsidRPr="00DB0F6A" w14:paraId="2E65F5CB"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5DECBBB0"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3</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5DE93104" w14:textId="77777777" w:rsidR="00DB0F6A" w:rsidRPr="00DB0F6A" w:rsidRDefault="00DB0F6A">
            <w:pPr>
              <w:pStyle w:val="7BodyCopy"/>
              <w:rPr>
                <w:rFonts w:ascii="Arial" w:hAnsi="Arial" w:cs="Arial"/>
                <w:sz w:val="24"/>
                <w:szCs w:val="24"/>
              </w:rPr>
            </w:pPr>
            <w:r w:rsidRPr="00DB0F6A">
              <w:rPr>
                <w:rFonts w:ascii="Arial" w:hAnsi="Arial" w:cs="Arial"/>
                <w:sz w:val="24"/>
                <w:szCs w:val="24"/>
              </w:rPr>
              <w:t xml:space="preserve">10-level office building plus two-level car park </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560A5DBD"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0.22 to 0.35</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66BAFC17"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2.6%</w:t>
            </w:r>
          </w:p>
        </w:tc>
      </w:tr>
      <w:tr w:rsidR="00DB0F6A" w:rsidRPr="00DB0F6A" w14:paraId="762F0F7C"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189334C1"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4</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625B98F1" w14:textId="77777777" w:rsidR="00DB0F6A" w:rsidRPr="00DB0F6A" w:rsidRDefault="00DB0F6A">
            <w:pPr>
              <w:pStyle w:val="7BodyCopy"/>
              <w:rPr>
                <w:rFonts w:ascii="Arial" w:hAnsi="Arial" w:cs="Arial"/>
                <w:sz w:val="24"/>
                <w:szCs w:val="24"/>
              </w:rPr>
            </w:pPr>
            <w:r w:rsidRPr="00DB0F6A">
              <w:rPr>
                <w:rFonts w:ascii="Arial" w:hAnsi="Arial" w:cs="Arial"/>
                <w:sz w:val="24"/>
                <w:szCs w:val="24"/>
              </w:rPr>
              <w:t>Single-level educational block</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6F0744AB"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0.22 to 0.35</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04E23C46"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1.1%</w:t>
            </w:r>
          </w:p>
        </w:tc>
      </w:tr>
      <w:tr w:rsidR="00DB0F6A" w:rsidRPr="00DB0F6A" w14:paraId="3FEFE8FD"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067201E2"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5</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5EBEFC10" w14:textId="77777777" w:rsidR="00DB0F6A" w:rsidRPr="00DB0F6A" w:rsidRDefault="00DB0F6A">
            <w:pPr>
              <w:pStyle w:val="7BodyCopy"/>
              <w:rPr>
                <w:rFonts w:ascii="Arial" w:hAnsi="Arial" w:cs="Arial"/>
                <w:sz w:val="24"/>
                <w:szCs w:val="24"/>
              </w:rPr>
            </w:pPr>
            <w:r w:rsidRPr="00DB0F6A">
              <w:rPr>
                <w:rFonts w:ascii="Arial" w:hAnsi="Arial" w:cs="Arial"/>
                <w:sz w:val="24"/>
                <w:szCs w:val="24"/>
              </w:rPr>
              <w:t xml:space="preserve">Three levels: two above ground, one basement </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5FD8DE28"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0.22 to 0.3</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1DCF9766"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15.5%</w:t>
            </w:r>
          </w:p>
        </w:tc>
      </w:tr>
      <w:tr w:rsidR="00DB0F6A" w:rsidRPr="00DB0F6A" w14:paraId="78C0F6D6"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71CA0FF1"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6</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6FD28F2D" w14:textId="77777777" w:rsidR="00DB0F6A" w:rsidRPr="00DB0F6A" w:rsidRDefault="00DB0F6A">
            <w:pPr>
              <w:pStyle w:val="7BodyCopy"/>
              <w:rPr>
                <w:rFonts w:ascii="Arial" w:hAnsi="Arial" w:cs="Arial"/>
                <w:sz w:val="24"/>
                <w:szCs w:val="24"/>
              </w:rPr>
            </w:pPr>
            <w:r w:rsidRPr="00DB0F6A">
              <w:rPr>
                <w:rFonts w:ascii="Arial" w:hAnsi="Arial" w:cs="Arial"/>
                <w:sz w:val="24"/>
                <w:szCs w:val="24"/>
              </w:rPr>
              <w:t>Two-level government building</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7BCBB0A6"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0.22 to 0.35</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5044C185"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4%</w:t>
            </w:r>
          </w:p>
        </w:tc>
      </w:tr>
      <w:tr w:rsidR="00DB0F6A" w:rsidRPr="00DB0F6A" w14:paraId="7E4D8919"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1DCA62AF"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7</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78389FA0" w14:textId="77777777" w:rsidR="00DB0F6A" w:rsidRPr="00DB0F6A" w:rsidRDefault="00DB0F6A">
            <w:pPr>
              <w:pStyle w:val="7BodyCopy"/>
              <w:rPr>
                <w:rFonts w:ascii="Arial" w:hAnsi="Arial" w:cs="Arial"/>
                <w:sz w:val="24"/>
                <w:szCs w:val="24"/>
              </w:rPr>
            </w:pPr>
            <w:r w:rsidRPr="00DB0F6A">
              <w:rPr>
                <w:rFonts w:ascii="Arial" w:hAnsi="Arial" w:cs="Arial"/>
                <w:sz w:val="24"/>
                <w:szCs w:val="24"/>
              </w:rPr>
              <w:t>Three-level hostel</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2F50A4FA"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0.22 to 0.3</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43D5DB5E"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7%</w:t>
            </w:r>
          </w:p>
        </w:tc>
      </w:tr>
      <w:tr w:rsidR="00DB0F6A" w:rsidRPr="00DB0F6A" w14:paraId="60D253B0" w14:textId="77777777" w:rsidTr="00DB0F6A">
        <w:trPr>
          <w:trHeight w:val="60"/>
        </w:trPr>
        <w:tc>
          <w:tcPr>
            <w:tcW w:w="1190" w:type="dxa"/>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7F91901F"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8</w:t>
            </w:r>
          </w:p>
        </w:tc>
        <w:tc>
          <w:tcPr>
            <w:tcW w:w="5189"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0E52E1D6" w14:textId="77777777" w:rsidR="00DB0F6A" w:rsidRPr="00DB0F6A" w:rsidRDefault="00DB0F6A">
            <w:pPr>
              <w:pStyle w:val="7BodyCopy"/>
              <w:rPr>
                <w:rFonts w:ascii="Arial" w:hAnsi="Arial" w:cs="Arial"/>
                <w:sz w:val="24"/>
                <w:szCs w:val="24"/>
              </w:rPr>
            </w:pPr>
            <w:r w:rsidRPr="00DB0F6A">
              <w:rPr>
                <w:rFonts w:ascii="Arial" w:hAnsi="Arial" w:cs="Arial"/>
                <w:sz w:val="24"/>
                <w:szCs w:val="24"/>
              </w:rPr>
              <w:t>One-level supermarket plus basement car park</w:t>
            </w:r>
          </w:p>
        </w:tc>
        <w:tc>
          <w:tcPr>
            <w:tcW w:w="1843" w:type="dxa"/>
            <w:tcBorders>
              <w:top w:val="single" w:sz="8" w:space="0" w:color="FFFFFF"/>
              <w:left w:val="single" w:sz="8" w:space="0" w:color="FFFFFF"/>
              <w:bottom w:val="single" w:sz="8" w:space="0" w:color="FFFFFF"/>
              <w:right w:val="single" w:sz="8" w:space="0" w:color="FFFFFF"/>
            </w:tcBorders>
            <w:shd w:val="clear" w:color="447B9C" w:fill="DBE5F1" w:themeFill="accent1" w:themeFillTint="33"/>
            <w:tcMar>
              <w:top w:w="113" w:type="dxa"/>
              <w:left w:w="85" w:type="dxa"/>
              <w:bottom w:w="113" w:type="dxa"/>
              <w:right w:w="85" w:type="dxa"/>
            </w:tcMar>
            <w:vAlign w:val="center"/>
          </w:tcPr>
          <w:p w14:paraId="1CAE89DD"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0.22 to 0.3</w:t>
            </w:r>
          </w:p>
        </w:tc>
        <w:tc>
          <w:tcPr>
            <w:tcW w:w="2126" w:type="dxa"/>
            <w:tcBorders>
              <w:top w:val="single" w:sz="8" w:space="0" w:color="FFFFFF"/>
              <w:left w:val="single" w:sz="8" w:space="0" w:color="FFFFFF"/>
              <w:bottom w:val="single" w:sz="8" w:space="0" w:color="FFFFFF"/>
              <w:right w:val="single" w:sz="6" w:space="0" w:color="FFFFFF"/>
            </w:tcBorders>
            <w:shd w:val="clear" w:color="447B9C" w:fill="DBE5F1" w:themeFill="accent1" w:themeFillTint="33"/>
            <w:tcMar>
              <w:top w:w="113" w:type="dxa"/>
              <w:left w:w="85" w:type="dxa"/>
              <w:bottom w:w="113" w:type="dxa"/>
              <w:right w:w="85" w:type="dxa"/>
            </w:tcMar>
            <w:vAlign w:val="center"/>
          </w:tcPr>
          <w:p w14:paraId="6EEBA2D2" w14:textId="77777777" w:rsidR="00DB0F6A" w:rsidRPr="00DB0F6A" w:rsidRDefault="00DB0F6A">
            <w:pPr>
              <w:pStyle w:val="7BodyCopy"/>
              <w:jc w:val="center"/>
              <w:rPr>
                <w:rFonts w:ascii="Arial" w:hAnsi="Arial" w:cs="Arial"/>
                <w:sz w:val="24"/>
                <w:szCs w:val="24"/>
              </w:rPr>
            </w:pPr>
            <w:r w:rsidRPr="00DB0F6A">
              <w:rPr>
                <w:rFonts w:ascii="Arial" w:hAnsi="Arial" w:cs="Arial"/>
                <w:sz w:val="24"/>
                <w:szCs w:val="24"/>
              </w:rPr>
              <w:t>5%</w:t>
            </w:r>
          </w:p>
        </w:tc>
      </w:tr>
      <w:tr w:rsidR="00DB0F6A" w:rsidRPr="00DB0F6A" w14:paraId="0849D5EE" w14:textId="77777777" w:rsidTr="00DB0F6A">
        <w:trPr>
          <w:trHeight w:val="60"/>
        </w:trPr>
        <w:tc>
          <w:tcPr>
            <w:tcW w:w="10348" w:type="dxa"/>
            <w:gridSpan w:val="4"/>
            <w:tcBorders>
              <w:top w:val="single" w:sz="8" w:space="0" w:color="FFFFFF"/>
              <w:left w:val="single" w:sz="6" w:space="0" w:color="FFFFFF"/>
              <w:bottom w:val="single" w:sz="8" w:space="0" w:color="FFFFFF"/>
              <w:right w:val="single" w:sz="8" w:space="0" w:color="FFFFFF"/>
            </w:tcBorders>
            <w:shd w:val="clear" w:color="447B9C" w:fill="DBE5F1" w:themeFill="accent1" w:themeFillTint="33"/>
            <w:tcMar>
              <w:top w:w="113" w:type="dxa"/>
              <w:left w:w="113" w:type="dxa"/>
              <w:bottom w:w="113" w:type="dxa"/>
              <w:right w:w="113" w:type="dxa"/>
            </w:tcMar>
            <w:vAlign w:val="center"/>
          </w:tcPr>
          <w:p w14:paraId="7FE17B73" w14:textId="77777777" w:rsidR="00DB0F6A" w:rsidRPr="00DB0F6A" w:rsidRDefault="00DB0F6A">
            <w:pPr>
              <w:pStyle w:val="7BodyCopy"/>
              <w:rPr>
                <w:rFonts w:ascii="Arial" w:hAnsi="Arial" w:cs="Arial"/>
                <w:sz w:val="24"/>
                <w:szCs w:val="24"/>
              </w:rPr>
            </w:pPr>
            <w:r w:rsidRPr="00DB0F6A">
              <w:rPr>
                <w:rFonts w:ascii="Arial" w:hAnsi="Arial" w:cs="Arial"/>
                <w:sz w:val="24"/>
                <w:szCs w:val="24"/>
              </w:rPr>
              <w:t>Note: building 5 required a complete re-design of foundations, whereas the other buildings generally required only additional steel and concrete to comply with the higher Z factor</w:t>
            </w:r>
          </w:p>
        </w:tc>
      </w:tr>
    </w:tbl>
    <w:p w14:paraId="13A0B559" w14:textId="77777777" w:rsidR="00DB0F6A" w:rsidRPr="00DB0F6A" w:rsidRDefault="00DB0F6A" w:rsidP="00DB0F6A">
      <w:pPr>
        <w:pStyle w:val="7BodyCopy"/>
        <w:rPr>
          <w:rFonts w:ascii="Arial" w:hAnsi="Arial" w:cs="Arial"/>
          <w:sz w:val="24"/>
          <w:szCs w:val="24"/>
        </w:rPr>
      </w:pPr>
    </w:p>
    <w:p w14:paraId="1759DF6A" w14:textId="77777777" w:rsidR="00DB0F6A" w:rsidRPr="00DB0F6A" w:rsidRDefault="00DB0F6A" w:rsidP="00DB0F6A">
      <w:pPr>
        <w:pStyle w:val="Heading2"/>
      </w:pPr>
      <w:r w:rsidRPr="00DB0F6A">
        <w:t>7.4 Discussion</w:t>
      </w:r>
    </w:p>
    <w:p w14:paraId="6DDCB54E" w14:textId="43E4182A" w:rsidR="00DB0F6A" w:rsidRPr="00DB0F6A" w:rsidRDefault="00DB0F6A" w:rsidP="00DB0F6A">
      <w:pPr>
        <w:pStyle w:val="7BodyCopy"/>
        <w:rPr>
          <w:rFonts w:ascii="Arial" w:hAnsi="Arial" w:cs="Arial"/>
          <w:sz w:val="24"/>
          <w:szCs w:val="24"/>
        </w:rPr>
      </w:pPr>
      <w:r w:rsidRPr="00DB0F6A">
        <w:rPr>
          <w:rFonts w:ascii="Arial" w:hAnsi="Arial" w:cs="Arial"/>
          <w:sz w:val="24"/>
          <w:szCs w:val="24"/>
        </w:rPr>
        <w:t>While this is not a sta</w:t>
      </w:r>
      <w:r>
        <w:rPr>
          <w:rFonts w:ascii="Arial" w:hAnsi="Arial" w:cs="Arial"/>
          <w:sz w:val="24"/>
          <w:szCs w:val="24"/>
        </w:rPr>
        <w:t xml:space="preserve">tistically significant sample, </w:t>
      </w:r>
      <w:r w:rsidRPr="00DB0F6A">
        <w:rPr>
          <w:rFonts w:ascii="Arial" w:hAnsi="Arial" w:cs="Arial"/>
          <w:sz w:val="24"/>
          <w:szCs w:val="24"/>
        </w:rPr>
        <w:t>it provides an indicat</w:t>
      </w:r>
      <w:r>
        <w:rPr>
          <w:rFonts w:ascii="Arial" w:hAnsi="Arial" w:cs="Arial"/>
          <w:sz w:val="24"/>
          <w:szCs w:val="24"/>
        </w:rPr>
        <w:t xml:space="preserve">ion that construction costs do </w:t>
      </w:r>
      <w:r w:rsidRPr="00DB0F6A">
        <w:rPr>
          <w:rFonts w:ascii="Arial" w:hAnsi="Arial" w:cs="Arial"/>
          <w:sz w:val="24"/>
          <w:szCs w:val="24"/>
        </w:rPr>
        <w:t>not generally appear to</w:t>
      </w:r>
      <w:r>
        <w:rPr>
          <w:rFonts w:ascii="Arial" w:hAnsi="Arial" w:cs="Arial"/>
          <w:sz w:val="24"/>
          <w:szCs w:val="24"/>
        </w:rPr>
        <w:t xml:space="preserve"> be significantly increased as </w:t>
      </w:r>
      <w:r w:rsidRPr="00DB0F6A">
        <w:rPr>
          <w:rFonts w:ascii="Arial" w:hAnsi="Arial" w:cs="Arial"/>
          <w:sz w:val="24"/>
          <w:szCs w:val="24"/>
        </w:rPr>
        <w:t>a result of increases i</w:t>
      </w:r>
      <w:r>
        <w:rPr>
          <w:rFonts w:ascii="Arial" w:hAnsi="Arial" w:cs="Arial"/>
          <w:sz w:val="24"/>
          <w:szCs w:val="24"/>
        </w:rPr>
        <w:t xml:space="preserve">n the seismic hazard factor of </w:t>
      </w:r>
      <w:r w:rsidRPr="00DB0F6A">
        <w:rPr>
          <w:rFonts w:ascii="Arial" w:hAnsi="Arial" w:cs="Arial"/>
          <w:sz w:val="24"/>
          <w:szCs w:val="24"/>
        </w:rPr>
        <w:t xml:space="preserve">the magnitude we have considered. </w:t>
      </w:r>
    </w:p>
    <w:p w14:paraId="47245C55" w14:textId="645F1201" w:rsidR="00DB0F6A" w:rsidRPr="00DB0F6A" w:rsidRDefault="00DB0F6A" w:rsidP="00DB0F6A">
      <w:pPr>
        <w:pStyle w:val="7BodyCopy"/>
        <w:rPr>
          <w:rFonts w:ascii="Arial" w:hAnsi="Arial" w:cs="Arial"/>
          <w:sz w:val="24"/>
          <w:szCs w:val="24"/>
        </w:rPr>
      </w:pPr>
      <w:r w:rsidRPr="00DB0F6A">
        <w:rPr>
          <w:rFonts w:ascii="Arial" w:hAnsi="Arial" w:cs="Arial"/>
          <w:sz w:val="24"/>
          <w:szCs w:val="24"/>
        </w:rPr>
        <w:t>Overall, the incremental</w:t>
      </w:r>
      <w:r>
        <w:rPr>
          <w:rFonts w:ascii="Arial" w:hAnsi="Arial" w:cs="Arial"/>
          <w:sz w:val="24"/>
          <w:szCs w:val="24"/>
        </w:rPr>
        <w:t xml:space="preserve"> construction cost of building </w:t>
      </w:r>
      <w:r w:rsidRPr="00DB0F6A">
        <w:rPr>
          <w:rFonts w:ascii="Arial" w:hAnsi="Arial" w:cs="Arial"/>
          <w:sz w:val="24"/>
          <w:szCs w:val="24"/>
        </w:rPr>
        <w:t>to a Z factor increa</w:t>
      </w:r>
      <w:r>
        <w:rPr>
          <w:rFonts w:ascii="Arial" w:hAnsi="Arial" w:cs="Arial"/>
          <w:sz w:val="24"/>
          <w:szCs w:val="24"/>
        </w:rPr>
        <w:t xml:space="preserve">sed from 0.22 to 0.35 was less </w:t>
      </w:r>
      <w:r w:rsidRPr="00DB0F6A">
        <w:rPr>
          <w:rFonts w:ascii="Arial" w:hAnsi="Arial" w:cs="Arial"/>
          <w:sz w:val="24"/>
          <w:szCs w:val="24"/>
        </w:rPr>
        <w:t>than five per cent, a</w:t>
      </w:r>
      <w:r>
        <w:rPr>
          <w:rFonts w:ascii="Arial" w:hAnsi="Arial" w:cs="Arial"/>
          <w:sz w:val="24"/>
          <w:szCs w:val="24"/>
        </w:rPr>
        <w:t xml:space="preserve">nd in half the cases less than </w:t>
      </w:r>
      <w:r w:rsidRPr="00DB0F6A">
        <w:rPr>
          <w:rFonts w:ascii="Arial" w:hAnsi="Arial" w:cs="Arial"/>
          <w:sz w:val="24"/>
          <w:szCs w:val="24"/>
        </w:rPr>
        <w:t>two per cent.</w:t>
      </w:r>
    </w:p>
    <w:p w14:paraId="58F71167" w14:textId="77777777" w:rsidR="00DB0F6A" w:rsidRPr="00DB0F6A" w:rsidRDefault="00DB0F6A" w:rsidP="00DB0F6A">
      <w:pPr>
        <w:pStyle w:val="Heading2"/>
      </w:pPr>
      <w:r w:rsidRPr="00DB0F6A">
        <w:t>7.5 Conclusion</w:t>
      </w:r>
    </w:p>
    <w:p w14:paraId="2A79FB71" w14:textId="4AFEB014" w:rsidR="00044432" w:rsidRDefault="00DB0F6A" w:rsidP="00DB0F6A">
      <w:pPr>
        <w:pStyle w:val="7BodyCopy"/>
      </w:pPr>
      <w:r w:rsidRPr="00DB0F6A">
        <w:rPr>
          <w:rFonts w:ascii="Arial" w:hAnsi="Arial" w:cs="Arial"/>
          <w:sz w:val="24"/>
          <w:szCs w:val="24"/>
        </w:rPr>
        <w:t xml:space="preserve">It is important that the seismic hazard factors adequately account for risk, but that they do not overstate it. Overall construction costs do not appear to significantly increase as a result of increases in the seismic hazard factor, based on the limited sample of buildings that were reviewed by the Royal Commission. </w:t>
      </w:r>
    </w:p>
    <w:sectPr w:rsidR="00044432" w:rsidSect="00A62DFA">
      <w:pgSz w:w="11900" w:h="16840"/>
      <w:pgMar w:top="720" w:right="720" w:bottom="720"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00"/>
    <w:family w:val="roman"/>
    <w:notTrueType/>
    <w:pitch w:val="default"/>
    <w:sig w:usb0="00000003" w:usb1="00000000" w:usb2="00000000" w:usb3="00000000" w:csb0="00000001" w:csb1="00000000"/>
  </w:font>
  <w:font w:name="HelveticaNeue-Condensed">
    <w:altName w:val="Cambria"/>
    <w:panose1 w:val="00000000000000000000"/>
    <w:charset w:val="4D"/>
    <w:family w:val="auto"/>
    <w:notTrueType/>
    <w:pitch w:val="default"/>
    <w:sig w:usb0="00000003" w:usb1="00000000" w:usb2="00000000" w:usb3="00000000" w:csb0="00000001" w:csb1="00000000"/>
  </w:font>
  <w:font w:name="HelveticaNeue-BoldCond">
    <w:altName w:val="Cambria"/>
    <w:panose1 w:val="00000000000000000000"/>
    <w:charset w:val="4D"/>
    <w:family w:val="auto"/>
    <w:notTrueType/>
    <w:pitch w:val="default"/>
    <w:sig w:usb0="00000003" w:usb1="00000000" w:usb2="00000000" w:usb3="00000000" w:csb0="00000001" w:csb1="00000000"/>
  </w:font>
  <w:font w:name="HelveticaNeue-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753E"/>
    <w:multiLevelType w:val="hybridMultilevel"/>
    <w:tmpl w:val="4058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BF"/>
    <w:rsid w:val="00044432"/>
    <w:rsid w:val="002172BF"/>
    <w:rsid w:val="00377A40"/>
    <w:rsid w:val="003A73EA"/>
    <w:rsid w:val="006C737E"/>
    <w:rsid w:val="006F11A1"/>
    <w:rsid w:val="009173A7"/>
    <w:rsid w:val="00933F1D"/>
    <w:rsid w:val="00974CB8"/>
    <w:rsid w:val="00A62DFA"/>
    <w:rsid w:val="00B472E6"/>
    <w:rsid w:val="00D71E74"/>
    <w:rsid w:val="00DB0F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E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172BF"/>
    <w:pPr>
      <w:keepNext/>
      <w:keepLines/>
      <w:spacing w:before="200" w:after="240"/>
      <w:outlineLvl w:val="1"/>
    </w:pPr>
    <w:rPr>
      <w:rFonts w:ascii="Arial Black" w:eastAsiaTheme="majorEastAsia" w:hAnsi="Arial Black" w:cstheme="majorBidi"/>
      <w:bCs/>
      <w:color w:val="31849B" w:themeColor="accent5" w:themeShade="BF"/>
      <w:sz w:val="28"/>
      <w:szCs w:val="26"/>
      <w:lang w:val="en-AU"/>
    </w:rPr>
  </w:style>
  <w:style w:type="paragraph" w:styleId="Heading3">
    <w:name w:val="heading 3"/>
    <w:basedOn w:val="Normal"/>
    <w:next w:val="Normal"/>
    <w:link w:val="Heading3Char"/>
    <w:uiPriority w:val="9"/>
    <w:semiHidden/>
    <w:unhideWhenUsed/>
    <w:qFormat/>
    <w:rsid w:val="003A73EA"/>
    <w:pPr>
      <w:keepNext/>
      <w:keepLines/>
      <w:spacing w:before="200" w:after="240"/>
      <w:outlineLvl w:val="2"/>
    </w:pPr>
    <w:rPr>
      <w:rFonts w:ascii="Arial" w:eastAsiaTheme="majorEastAsia" w:hAnsi="Arial" w:cstheme="majorBidi"/>
      <w:b/>
      <w:b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72BF"/>
    <w:rPr>
      <w:rFonts w:ascii="Arial Black" w:eastAsiaTheme="majorEastAsia" w:hAnsi="Arial Black" w:cstheme="majorBidi"/>
      <w:bCs/>
      <w:color w:val="31849B" w:themeColor="accent5" w:themeShade="BF"/>
      <w:sz w:val="28"/>
      <w:szCs w:val="26"/>
      <w:lang w:val="en-AU"/>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themeColor="accent5" w:themeShade="BF"/>
      <w:sz w:val="60"/>
      <w:szCs w:val="60"/>
    </w:rPr>
  </w:style>
  <w:style w:type="paragraph" w:customStyle="1" w:styleId="BodyCopy">
    <w:name w:val="Body Copy"/>
    <w:basedOn w:val="Normal"/>
    <w:qFormat/>
    <w:rsid w:val="002172BF"/>
    <w:pPr>
      <w:spacing w:after="240"/>
    </w:pPr>
    <w:rPr>
      <w:rFonts w:ascii="Arial" w:hAnsi="Arial"/>
      <w:lang w:val="en-AU"/>
    </w:rPr>
  </w:style>
  <w:style w:type="paragraph" w:customStyle="1" w:styleId="Introductiontext">
    <w:name w:val="Introduction text"/>
    <w:basedOn w:val="Normal"/>
    <w:next w:val="BodyCopy"/>
    <w:qFormat/>
    <w:rsid w:val="002172BF"/>
    <w:pPr>
      <w:spacing w:after="240"/>
    </w:pPr>
    <w:rPr>
      <w:rFonts w:ascii="Arial" w:hAnsi="Arial"/>
      <w:color w:val="31849B" w:themeColor="accent5" w:themeShade="BF"/>
      <w:sz w:val="28"/>
      <w:lang w:val="en-AU"/>
    </w:rPr>
  </w:style>
  <w:style w:type="paragraph" w:customStyle="1" w:styleId="BULLETS">
    <w:name w:val="BULLETS"/>
    <w:basedOn w:val="BodyCopy"/>
    <w:qFormat/>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character" w:customStyle="1" w:styleId="Heading3Char">
    <w:name w:val="Heading 3 Char"/>
    <w:basedOn w:val="DefaultParagraphFont"/>
    <w:link w:val="Heading3"/>
    <w:uiPriority w:val="9"/>
    <w:semiHidden/>
    <w:rsid w:val="003A73EA"/>
    <w:rPr>
      <w:rFonts w:ascii="Arial" w:eastAsiaTheme="majorEastAsia" w:hAnsi="Arial" w:cstheme="majorBidi"/>
      <w:b/>
      <w:bCs/>
      <w:color w:val="31849B" w:themeColor="accent5" w:themeShade="BF"/>
    </w:rPr>
  </w:style>
  <w:style w:type="paragraph" w:customStyle="1" w:styleId="Bodybold">
    <w:name w:val="Body bold"/>
    <w:basedOn w:val="BodyCopy"/>
    <w:qFormat/>
    <w:rsid w:val="00D71E74"/>
    <w:rPr>
      <w:rFonts w:cs="Arial"/>
      <w:b/>
    </w:rPr>
  </w:style>
  <w:style w:type="paragraph" w:customStyle="1" w:styleId="2IntroPara">
    <w:name w:val="2 Intro Para"/>
    <w:basedOn w:val="Normal"/>
    <w:uiPriority w:val="99"/>
    <w:rsid w:val="00DB0F6A"/>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284351"/>
      <w:spacing w:val="-10"/>
      <w:sz w:val="32"/>
      <w:szCs w:val="32"/>
    </w:rPr>
  </w:style>
  <w:style w:type="paragraph" w:customStyle="1" w:styleId="3SubHeadingLevel1">
    <w:name w:val="3 Sub Heading Level 1"/>
    <w:basedOn w:val="Normal"/>
    <w:uiPriority w:val="99"/>
    <w:rsid w:val="00DB0F6A"/>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284351"/>
      <w:spacing w:val="-3"/>
      <w:sz w:val="28"/>
      <w:szCs w:val="28"/>
    </w:rPr>
  </w:style>
  <w:style w:type="paragraph" w:customStyle="1" w:styleId="7BodyCopy">
    <w:name w:val="7 Body Copy"/>
    <w:basedOn w:val="Normal"/>
    <w:uiPriority w:val="99"/>
    <w:rsid w:val="00DB0F6A"/>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7Tablewhitehead">
    <w:name w:val="7 Table white head"/>
    <w:basedOn w:val="7BodyCopy"/>
    <w:uiPriority w:val="99"/>
    <w:rsid w:val="00DB0F6A"/>
    <w:rPr>
      <w:rFonts w:ascii="HelveticaNeue-Bold" w:hAnsi="HelveticaNeue-Bold" w:cs="HelveticaNeue-Bold"/>
      <w:b/>
      <w:bCs/>
      <w:color w:va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172BF"/>
    <w:pPr>
      <w:keepNext/>
      <w:keepLines/>
      <w:spacing w:before="200" w:after="240"/>
      <w:outlineLvl w:val="1"/>
    </w:pPr>
    <w:rPr>
      <w:rFonts w:ascii="Arial Black" w:eastAsiaTheme="majorEastAsia" w:hAnsi="Arial Black" w:cstheme="majorBidi"/>
      <w:bCs/>
      <w:color w:val="31849B" w:themeColor="accent5" w:themeShade="BF"/>
      <w:sz w:val="28"/>
      <w:szCs w:val="26"/>
      <w:lang w:val="en-AU"/>
    </w:rPr>
  </w:style>
  <w:style w:type="paragraph" w:styleId="Heading3">
    <w:name w:val="heading 3"/>
    <w:basedOn w:val="Normal"/>
    <w:next w:val="Normal"/>
    <w:link w:val="Heading3Char"/>
    <w:uiPriority w:val="9"/>
    <w:semiHidden/>
    <w:unhideWhenUsed/>
    <w:qFormat/>
    <w:rsid w:val="003A73EA"/>
    <w:pPr>
      <w:keepNext/>
      <w:keepLines/>
      <w:spacing w:before="200" w:after="240"/>
      <w:outlineLvl w:val="2"/>
    </w:pPr>
    <w:rPr>
      <w:rFonts w:ascii="Arial" w:eastAsiaTheme="majorEastAsia" w:hAnsi="Arial" w:cstheme="majorBidi"/>
      <w:b/>
      <w:b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72BF"/>
    <w:rPr>
      <w:rFonts w:ascii="Arial Black" w:eastAsiaTheme="majorEastAsia" w:hAnsi="Arial Black" w:cstheme="majorBidi"/>
      <w:bCs/>
      <w:color w:val="31849B" w:themeColor="accent5" w:themeShade="BF"/>
      <w:sz w:val="28"/>
      <w:szCs w:val="26"/>
      <w:lang w:val="en-AU"/>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themeColor="accent5" w:themeShade="BF"/>
      <w:sz w:val="60"/>
      <w:szCs w:val="60"/>
    </w:rPr>
  </w:style>
  <w:style w:type="paragraph" w:customStyle="1" w:styleId="BodyCopy">
    <w:name w:val="Body Copy"/>
    <w:basedOn w:val="Normal"/>
    <w:qFormat/>
    <w:rsid w:val="002172BF"/>
    <w:pPr>
      <w:spacing w:after="240"/>
    </w:pPr>
    <w:rPr>
      <w:rFonts w:ascii="Arial" w:hAnsi="Arial"/>
      <w:lang w:val="en-AU"/>
    </w:rPr>
  </w:style>
  <w:style w:type="paragraph" w:customStyle="1" w:styleId="Introductiontext">
    <w:name w:val="Introduction text"/>
    <w:basedOn w:val="Normal"/>
    <w:next w:val="BodyCopy"/>
    <w:qFormat/>
    <w:rsid w:val="002172BF"/>
    <w:pPr>
      <w:spacing w:after="240"/>
    </w:pPr>
    <w:rPr>
      <w:rFonts w:ascii="Arial" w:hAnsi="Arial"/>
      <w:color w:val="31849B" w:themeColor="accent5" w:themeShade="BF"/>
      <w:sz w:val="28"/>
      <w:lang w:val="en-AU"/>
    </w:rPr>
  </w:style>
  <w:style w:type="paragraph" w:customStyle="1" w:styleId="BULLETS">
    <w:name w:val="BULLETS"/>
    <w:basedOn w:val="BodyCopy"/>
    <w:qFormat/>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character" w:customStyle="1" w:styleId="Heading3Char">
    <w:name w:val="Heading 3 Char"/>
    <w:basedOn w:val="DefaultParagraphFont"/>
    <w:link w:val="Heading3"/>
    <w:uiPriority w:val="9"/>
    <w:semiHidden/>
    <w:rsid w:val="003A73EA"/>
    <w:rPr>
      <w:rFonts w:ascii="Arial" w:eastAsiaTheme="majorEastAsia" w:hAnsi="Arial" w:cstheme="majorBidi"/>
      <w:b/>
      <w:bCs/>
      <w:color w:val="31849B" w:themeColor="accent5" w:themeShade="BF"/>
    </w:rPr>
  </w:style>
  <w:style w:type="paragraph" w:customStyle="1" w:styleId="Bodybold">
    <w:name w:val="Body bold"/>
    <w:basedOn w:val="BodyCopy"/>
    <w:qFormat/>
    <w:rsid w:val="00D71E74"/>
    <w:rPr>
      <w:rFonts w:cs="Arial"/>
      <w:b/>
    </w:rPr>
  </w:style>
  <w:style w:type="paragraph" w:customStyle="1" w:styleId="2IntroPara">
    <w:name w:val="2 Intro Para"/>
    <w:basedOn w:val="Normal"/>
    <w:uiPriority w:val="99"/>
    <w:rsid w:val="00DB0F6A"/>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284351"/>
      <w:spacing w:val="-10"/>
      <w:sz w:val="32"/>
      <w:szCs w:val="32"/>
    </w:rPr>
  </w:style>
  <w:style w:type="paragraph" w:customStyle="1" w:styleId="3SubHeadingLevel1">
    <w:name w:val="3 Sub Heading Level 1"/>
    <w:basedOn w:val="Normal"/>
    <w:uiPriority w:val="99"/>
    <w:rsid w:val="00DB0F6A"/>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284351"/>
      <w:spacing w:val="-3"/>
      <w:sz w:val="28"/>
      <w:szCs w:val="28"/>
    </w:rPr>
  </w:style>
  <w:style w:type="paragraph" w:customStyle="1" w:styleId="7BodyCopy">
    <w:name w:val="7 Body Copy"/>
    <w:basedOn w:val="Normal"/>
    <w:uiPriority w:val="99"/>
    <w:rsid w:val="00DB0F6A"/>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7Tablewhitehead">
    <w:name w:val="7 Table white head"/>
    <w:basedOn w:val="7BodyCopy"/>
    <w:uiPriority w:val="99"/>
    <w:rsid w:val="00DB0F6A"/>
    <w:rPr>
      <w:rFonts w:ascii="HelveticaNeue-Bold" w:hAnsi="HelveticaNeue-Bold" w:cs="HelveticaNeue-Bold"/>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A76013183834E97168F2FCD1BA03D" ma:contentTypeVersion="1" ma:contentTypeDescription="Create a new document." ma:contentTypeScope="" ma:versionID="8a2720d0d39ed2c3deb5305c545349aa">
  <xsd:schema xmlns:xsd="http://www.w3.org/2001/XMLSchema" xmlns:p="http://schemas.microsoft.com/office/2006/metadata/properties" xmlns:ns2="cd55a846-1b31-468c-afd5-89306f8bb75c" targetNamespace="http://schemas.microsoft.com/office/2006/metadata/properties" ma:root="true" ma:fieldsID="ebc94f3e161e13c268cb7d50d76e4048" ns2:_="">
    <xsd:import namespace="cd55a846-1b31-468c-afd5-89306f8bb75c"/>
    <xsd:element name="properties">
      <xsd:complexType>
        <xsd:sequence>
          <xsd:element name="documentManagement">
            <xsd:complexType>
              <xsd:all>
                <xsd:element ref="ns2:Information" minOccurs="0"/>
              </xsd:all>
            </xsd:complexType>
          </xsd:element>
        </xsd:sequence>
      </xsd:complexType>
    </xsd:element>
  </xsd:schema>
  <xsd:schema xmlns:xsd="http://www.w3.org/2001/XMLSchema" xmlns:dms="http://schemas.microsoft.com/office/2006/documentManagement/types" targetNamespace="cd55a846-1b31-468c-afd5-89306f8bb75c" elementFormDefault="qualified">
    <xsd:import namespace="http://schemas.microsoft.com/office/2006/documentManagement/types"/>
    <xsd:element name="Information" ma:index="8" nillable="true" ma:displayName="Information" ma:internalName="Informa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formation xmlns="cd55a846-1b31-468c-afd5-89306f8bb75c" xsi:nil="true"/>
  </documentManagement>
</p:properties>
</file>

<file path=customXml/itemProps1.xml><?xml version="1.0" encoding="utf-8"?>
<ds:datastoreItem xmlns:ds="http://schemas.openxmlformats.org/officeDocument/2006/customXml" ds:itemID="{5A7D4170-168A-44A8-9A7E-BF4C3E0D269E}"/>
</file>

<file path=customXml/itemProps2.xml><?xml version="1.0" encoding="utf-8"?>
<ds:datastoreItem xmlns:ds="http://schemas.openxmlformats.org/officeDocument/2006/customXml" ds:itemID="{F83996A8-E155-478E-8FC0-625311A36631}"/>
</file>

<file path=customXml/itemProps3.xml><?xml version="1.0" encoding="utf-8"?>
<ds:datastoreItem xmlns:ds="http://schemas.openxmlformats.org/officeDocument/2006/customXml" ds:itemID="{5A8BEF7F-5618-4C30-8BAC-71E97D4BAED9}"/>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4278</Characters>
  <Application>Microsoft Macintosh Word</Application>
  <DocSecurity>0</DocSecurity>
  <Lines>35</Lines>
  <Paragraphs>10</Paragraphs>
  <ScaleCrop>false</ScaleCrop>
  <Company>Scenario Communications Limited</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StudioW12</cp:lastModifiedBy>
  <cp:revision>2</cp:revision>
  <dcterms:created xsi:type="dcterms:W3CDTF">2012-07-03T23:07:00Z</dcterms:created>
  <dcterms:modified xsi:type="dcterms:W3CDTF">2012-07-03T23:07:00Z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ies>
</file>